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：评分规则</w:t>
      </w:r>
    </w:p>
    <w:p>
      <w:pPr>
        <w:adjustRightInd w:val="0"/>
        <w:spacing w:line="360" w:lineRule="auto"/>
        <w:jc w:val="left"/>
        <w:textAlignment w:val="baseline"/>
        <w:rPr>
          <w:rFonts w:ascii="Times New Roman" w:hAnsi="Times New Roman" w:eastAsia="黑体" w:cs="Times New Roman"/>
          <w:bCs/>
          <w:spacing w:val="1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pacing w:val="10"/>
          <w:kern w:val="0"/>
          <w:sz w:val="32"/>
          <w:szCs w:val="32"/>
        </w:rPr>
        <w:t>一、报价部分</w:t>
      </w:r>
    </w:p>
    <w:tbl>
      <w:tblPr>
        <w:tblStyle w:val="16"/>
        <w:tblW w:w="8325" w:type="dxa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229"/>
        <w:gridCol w:w="1085"/>
        <w:gridCol w:w="4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类别</w:t>
            </w:r>
          </w:p>
        </w:tc>
        <w:tc>
          <w:tcPr>
            <w:tcW w:w="1229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评审项目</w:t>
            </w:r>
          </w:p>
        </w:tc>
        <w:tc>
          <w:tcPr>
            <w:tcW w:w="1085" w:type="dxa"/>
            <w:vAlign w:val="center"/>
          </w:tcPr>
          <w:p>
            <w:pPr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标准分</w:t>
            </w:r>
          </w:p>
        </w:tc>
        <w:tc>
          <w:tcPr>
            <w:tcW w:w="4976" w:type="dxa"/>
            <w:vAlign w:val="center"/>
          </w:tcPr>
          <w:p>
            <w:pPr>
              <w:ind w:firstLine="420"/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报价</w:t>
            </w:r>
          </w:p>
        </w:tc>
        <w:tc>
          <w:tcPr>
            <w:tcW w:w="1229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报价分</w:t>
            </w:r>
          </w:p>
        </w:tc>
        <w:tc>
          <w:tcPr>
            <w:tcW w:w="1085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</w:rPr>
              <w:t>10</w:t>
            </w:r>
          </w:p>
        </w:tc>
        <w:tc>
          <w:tcPr>
            <w:tcW w:w="4976" w:type="dxa"/>
            <w:vAlign w:val="center"/>
          </w:tcPr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投标人报价得分=（评标基准价/供应商最终报价）*10，满分为10分。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注：采用低价优先法计算，即满足招标文件要求且最终报价最低的报价为评标基准价。</w:t>
            </w:r>
          </w:p>
        </w:tc>
      </w:tr>
    </w:tbl>
    <w:p>
      <w:pPr>
        <w:adjustRightInd w:val="0"/>
        <w:spacing w:line="360" w:lineRule="auto"/>
        <w:jc w:val="left"/>
        <w:textAlignment w:val="baseline"/>
        <w:rPr>
          <w:rFonts w:ascii="Times New Roman" w:hAnsi="Times New Roman" w:eastAsia="黑体" w:cs="Times New Roman"/>
          <w:bCs/>
          <w:spacing w:val="1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pacing w:val="10"/>
          <w:kern w:val="0"/>
          <w:sz w:val="32"/>
          <w:szCs w:val="32"/>
        </w:rPr>
        <w:t>二、商务技术部分</w:t>
      </w:r>
    </w:p>
    <w:tbl>
      <w:tblPr>
        <w:tblStyle w:val="16"/>
        <w:tblW w:w="8325" w:type="dxa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243"/>
        <w:gridCol w:w="1100"/>
        <w:gridCol w:w="49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Merge w:val="restart"/>
            <w:vAlign w:val="center"/>
          </w:tcPr>
          <w:p>
            <w:pPr>
              <w:rPr>
                <w:rFonts w:hint="eastAsia" w:ascii="宋体" w:hAnsi="宋体" w:eastAsia="宋体" w:cs="Times New Roman"/>
                <w:kern w:val="0"/>
                <w:sz w:val="24"/>
              </w:rPr>
            </w:pPr>
            <w:bookmarkStart w:id="0" w:name="_GoBack" w:colFirst="0" w:colLast="0"/>
            <w:r>
              <w:rPr>
                <w:rFonts w:hint="eastAsia" w:ascii="宋体" w:hAnsi="宋体" w:eastAsia="宋体" w:cs="Times New Roman"/>
                <w:kern w:val="0"/>
                <w:sz w:val="24"/>
              </w:rPr>
              <w:t>商务部分</w:t>
            </w: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既往业绩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2</w:t>
            </w:r>
            <w:r>
              <w:rPr>
                <w:rFonts w:ascii="宋体" w:hAnsi="宋体" w:eastAsia="宋体" w:cs="Times New Roman"/>
                <w:kern w:val="0"/>
                <w:sz w:val="24"/>
              </w:rPr>
              <w:t>0</w:t>
            </w:r>
          </w:p>
        </w:tc>
        <w:tc>
          <w:tcPr>
            <w:tcW w:w="4961" w:type="dxa"/>
            <w:vAlign w:val="center"/>
          </w:tcPr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ascii="宋体" w:hAnsi="宋体" w:eastAsia="宋体"/>
                <w:kern w:val="0"/>
                <w:sz w:val="24"/>
              </w:rPr>
              <w:t>202</w:t>
            </w:r>
            <w:r>
              <w:rPr>
                <w:rFonts w:hint="eastAsia" w:ascii="宋体" w:hAnsi="宋体" w:eastAsia="宋体"/>
                <w:kern w:val="0"/>
                <w:sz w:val="24"/>
              </w:rPr>
              <w:t>4</w:t>
            </w:r>
            <w:r>
              <w:rPr>
                <w:rFonts w:ascii="宋体" w:hAnsi="宋体" w:eastAsia="宋体"/>
                <w:kern w:val="0"/>
                <w:sz w:val="24"/>
              </w:rPr>
              <w:t>年</w:t>
            </w:r>
            <w:r>
              <w:rPr>
                <w:rFonts w:hint="eastAsia" w:ascii="宋体" w:hAnsi="宋体" w:eastAsia="宋体"/>
                <w:kern w:val="0"/>
                <w:sz w:val="24"/>
              </w:rPr>
              <w:t>1</w:t>
            </w:r>
            <w:r>
              <w:rPr>
                <w:rFonts w:ascii="宋体" w:hAnsi="宋体" w:eastAsia="宋体"/>
                <w:kern w:val="0"/>
                <w:sz w:val="24"/>
              </w:rPr>
              <w:t>月1日至今，</w:t>
            </w:r>
            <w:r>
              <w:rPr>
                <w:rFonts w:ascii="宋体" w:hAnsi="宋体" w:eastAsia="宋体" w:cs="Times New Roman"/>
                <w:kern w:val="0"/>
                <w:sz w:val="24"/>
              </w:rPr>
              <w:t>具有在线机器人或智能客服</w:t>
            </w: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行业</w:t>
            </w:r>
            <w:r>
              <w:rPr>
                <w:rFonts w:ascii="宋体" w:hAnsi="宋体" w:eastAsia="宋体" w:cs="Times New Roman"/>
                <w:kern w:val="0"/>
                <w:sz w:val="24"/>
              </w:rPr>
              <w:t>相关合同案例</w:t>
            </w:r>
            <w:r>
              <w:rPr>
                <w:rFonts w:ascii="宋体" w:hAnsi="宋体" w:eastAsia="宋体"/>
                <w:kern w:val="0"/>
                <w:sz w:val="24"/>
              </w:rPr>
              <w:t>，每提供一个得5分，满分为</w:t>
            </w:r>
            <w:r>
              <w:rPr>
                <w:rFonts w:hint="eastAsia" w:ascii="宋体" w:hAnsi="宋体" w:eastAsia="宋体"/>
                <w:kern w:val="0"/>
                <w:sz w:val="24"/>
              </w:rPr>
              <w:t>20</w:t>
            </w:r>
            <w:r>
              <w:rPr>
                <w:rFonts w:ascii="宋体" w:hAnsi="宋体" w:eastAsia="宋体"/>
                <w:kern w:val="0"/>
                <w:sz w:val="24"/>
              </w:rPr>
              <w:t>分。</w:t>
            </w:r>
            <w:r>
              <w:rPr>
                <w:rFonts w:hint="eastAsia" w:ascii="宋体" w:hAnsi="宋体" w:eastAsia="宋体"/>
                <w:kern w:val="0"/>
                <w:sz w:val="24"/>
              </w:rPr>
              <w:t>注：要求提供项目合同复印件关键页加盖投标人公章，合同乙方名称应和投标人名称一致。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Merge w:val="continue"/>
            <w:tcBorders/>
            <w:vAlign w:val="center"/>
          </w:tcPr>
          <w:p>
            <w:pPr>
              <w:ind w:firstLine="420"/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企业认证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2</w:t>
            </w:r>
            <w:r>
              <w:rPr>
                <w:rFonts w:ascii="宋体" w:hAnsi="宋体" w:eastAsia="宋体" w:cs="Times New Roman"/>
                <w:kern w:val="0"/>
                <w:sz w:val="24"/>
              </w:rPr>
              <w:t>0</w:t>
            </w:r>
          </w:p>
        </w:tc>
        <w:tc>
          <w:tcPr>
            <w:tcW w:w="4961" w:type="dxa"/>
            <w:vAlign w:val="center"/>
          </w:tcPr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①参选单位具有有效期内的ISO9001质量管理体系认证证书、ISO14001环境管理体系认证证书、ISO37301合规管理体系认证证书，每提供一个得2分，本项最高得6分。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②参选单位具有有效期内的CMMI-3级及以上认证证书：CMMI-3得2分，CMMI-4得4分，CMMI-5得6分，本项最高得6分。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③参选单位具有CCRC安全服务软件安全开发认证：二级得2分，一级得4分，本项最高得4分。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④参选单位具有DSMM数据安全能力成熟度三级或以上认证证书得4分，本项最高分4分。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参选单位需提供以上有效证书复印件。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Merge w:val="continue"/>
            <w:tcBorders/>
            <w:vAlign w:val="center"/>
          </w:tcPr>
          <w:p>
            <w:pPr>
              <w:ind w:firstLine="420"/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</w:p>
        </w:tc>
        <w:tc>
          <w:tcPr>
            <w:tcW w:w="1243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组织结构及项目团队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20</w:t>
            </w:r>
          </w:p>
        </w:tc>
        <w:tc>
          <w:tcPr>
            <w:tcW w:w="4961" w:type="dxa"/>
            <w:vAlign w:val="center"/>
          </w:tcPr>
          <w:p>
            <w:pPr>
              <w:spacing w:line="240" w:lineRule="auto"/>
              <w:ind w:firstLine="42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根据参选单位提供的项目团队情况进行评分: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（1）提供完整项目团队架构表，包含项目负责人和项目成员，得5分。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（2）项目负责人具有高级信息系统项目管理师证书的，得4分，不具有得0分。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（3）项目成员具有高级系统架构设计师证书、中级（或高级）软件设计师、中级（或高级）软件测评师的，每具备1个得2分，本项最高分6分。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（4）供应商拟任本项目服务团队人员总数两人得2分，三人得3分，四人及以上得5分，不足两人不得分，本项满分5分。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满分20分，未提供或提供不完整项目团队架构表的得 0分。项目团队人员要求与供应商具备劳动关系，需提供证明材料（相关证书需提供复印件</w:t>
            </w:r>
            <w:r>
              <w:rPr>
                <w:rFonts w:hint="eastAsia" w:ascii="宋体" w:hAnsi="宋体" w:eastAsia="宋体"/>
                <w:kern w:val="0"/>
                <w:sz w:val="24"/>
              </w:rPr>
              <w:t>加盖投标人公章</w:t>
            </w:r>
            <w:r>
              <w:rPr>
                <w:rFonts w:hint="eastAsia" w:ascii="宋体" w:hAnsi="宋体" w:eastAsia="宋体" w:cs="Times New Roman"/>
                <w:kern w:val="0"/>
                <w:sz w:val="24"/>
              </w:rPr>
              <w:t>），不满足以上条件，不得分。</w:t>
            </w:r>
          </w:p>
        </w:tc>
      </w:tr>
    </w:tbl>
    <w:p>
      <w:pPr>
        <w:adjustRightInd w:val="0"/>
        <w:spacing w:line="360" w:lineRule="auto"/>
        <w:jc w:val="left"/>
        <w:textAlignment w:val="baseline"/>
        <w:rPr>
          <w:rFonts w:ascii="Times New Roman" w:hAnsi="Times New Roman" w:eastAsia="黑体" w:cs="Times New Roman"/>
          <w:bCs/>
          <w:spacing w:val="10"/>
          <w:kern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pacing w:val="10"/>
          <w:kern w:val="0"/>
          <w:sz w:val="32"/>
          <w:szCs w:val="32"/>
        </w:rPr>
        <w:t>三、技术部分</w:t>
      </w:r>
    </w:p>
    <w:tbl>
      <w:tblPr>
        <w:tblStyle w:val="16"/>
        <w:tblW w:w="8340" w:type="dxa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228"/>
        <w:gridCol w:w="1115"/>
        <w:gridCol w:w="4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Merge w:val="restart"/>
            <w:vAlign w:val="center"/>
          </w:tcPr>
          <w:p>
            <w:pPr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技术</w:t>
            </w:r>
          </w:p>
          <w:p>
            <w:pPr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部分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运维方案</w:t>
            </w:r>
          </w:p>
        </w:tc>
        <w:tc>
          <w:tcPr>
            <w:tcW w:w="1115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15</w:t>
            </w:r>
          </w:p>
        </w:tc>
        <w:tc>
          <w:tcPr>
            <w:tcW w:w="4976" w:type="dxa"/>
            <w:vAlign w:val="center"/>
          </w:tcPr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</w:rPr>
              <w:t>针对本项目提出的运维服务方案进行评审，包括①对本项目的需求分析理解②项目实施目标③运维服务内容④组织实施及人员保障等方面的优劣进行横向对比赋分：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</w:rPr>
              <w:t>第一档：服务方案内容详细、专门针对本项目，符合采购需求和实际情况，</w:t>
            </w:r>
            <w:r>
              <w:rPr>
                <w:rFonts w:hint="eastAsia" w:ascii="宋体" w:hAnsi="宋体" w:eastAsia="宋体" w:cs="Times New Roman"/>
                <w:kern w:val="0"/>
                <w:sz w:val="24"/>
              </w:rPr>
              <w:t>视</w:t>
            </w:r>
            <w:r>
              <w:rPr>
                <w:rFonts w:ascii="宋体" w:hAnsi="宋体" w:eastAsia="宋体" w:cs="Times New Roman"/>
                <w:kern w:val="0"/>
                <w:sz w:val="24"/>
              </w:rPr>
              <w:t>为完全满足项目需求，得10-15 分；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</w:rPr>
              <w:t>第二档：服务方案内容属于通用类，非专门针对本项目，部分符合实际情况，视为部分满足项目需求，得5-9 分；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Times New Roman"/>
                <w:kern w:val="0"/>
                <w:sz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</w:rPr>
              <w:t>第三档：服务方案非专门针对本项目，不符合实际情况或未提供，视为不符合得0-4分。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1" w:type="dxa"/>
            <w:vMerge w:val="continue"/>
            <w:tcBorders/>
            <w:vAlign w:val="center"/>
          </w:tcPr>
          <w:p>
            <w:pPr>
              <w:ind w:firstLine="420"/>
              <w:jc w:val="center"/>
              <w:rPr>
                <w:rFonts w:ascii="宋体" w:hAnsi="宋体" w:eastAsia="宋体" w:cs="Times New Roman"/>
                <w:kern w:val="0"/>
                <w:sz w:val="24"/>
              </w:rPr>
            </w:pPr>
          </w:p>
        </w:tc>
        <w:tc>
          <w:tcPr>
            <w:tcW w:w="122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售后服务方案</w:t>
            </w:r>
          </w:p>
        </w:tc>
        <w:tc>
          <w:tcPr>
            <w:tcW w:w="111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</w:rPr>
              <w:t>15</w:t>
            </w:r>
          </w:p>
        </w:tc>
        <w:tc>
          <w:tcPr>
            <w:tcW w:w="4976" w:type="dxa"/>
            <w:vAlign w:val="center"/>
          </w:tcPr>
          <w:p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针对本项目提出的售后服务方案进行评审。包括售后响应时效、信息反馈渠道及处理机制、售后服务承诺等方面的优劣进行横向对比赋分：</w:t>
            </w:r>
          </w:p>
          <w:p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第一档：售后服务方案承诺一个工作日内响应，信息反馈渠道及处理机制完善，售后服务承诺详细、具体，得 8-15 分。</w:t>
            </w:r>
          </w:p>
          <w:p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第二档：售后服务方案承诺三个工作日内响应，信息反馈渠道及处理机制基本具备但不够完养，售后服务承诺笼统，得1-7分。</w:t>
            </w:r>
          </w:p>
          <w:p>
            <w:pPr>
              <w:widowControl/>
              <w:spacing w:line="240" w:lineRule="auto"/>
              <w:ind w:firstLine="420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第三档：未提供售后服务方案，或承诺响应时间超过三个工作日，或承诺内容完全无法满足本项目的基本运营需求，得0分。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595"/>
    <w:rsid w:val="000F7136"/>
    <w:rsid w:val="005501B4"/>
    <w:rsid w:val="00592F0E"/>
    <w:rsid w:val="00714627"/>
    <w:rsid w:val="00C825F4"/>
    <w:rsid w:val="00EF3595"/>
    <w:rsid w:val="00F7436F"/>
    <w:rsid w:val="552A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 w:line="240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2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40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40" w:lineRule="auto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40" w:lineRule="auto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 w:line="240" w:lineRule="auto"/>
      <w:outlineLvl w:val="5"/>
    </w:pPr>
    <w:rPr>
      <w:rFonts w:cstheme="majorBidi"/>
      <w:b/>
      <w:bCs/>
      <w:color w:val="104862" w:themeColor="accent1" w:themeShade="BF"/>
      <w:szCs w:val="22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line="24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pPr>
      <w:widowControl w:val="0"/>
      <w:spacing w:after="160" w:line="278" w:lineRule="auto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8">
    <w:name w:val="Strong"/>
    <w:basedOn w:val="17"/>
    <w:qFormat/>
    <w:uiPriority w:val="22"/>
    <w:rPr>
      <w:b/>
      <w:bCs/>
    </w:rPr>
  </w:style>
  <w:style w:type="character" w:customStyle="1" w:styleId="19">
    <w:name w:val="标题 2 字符"/>
    <w:basedOn w:val="17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3 字符"/>
    <w:basedOn w:val="17"/>
    <w:link w:val="2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line="240" w:lineRule="auto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szCs w:val="22"/>
    </w:r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40" w:lineRule="auto"/>
      <w:ind w:left="864" w:right="864"/>
      <w:jc w:val="center"/>
    </w:pPr>
    <w:rPr>
      <w:i/>
      <w:iCs/>
      <w:color w:val="104862" w:themeColor="accent1" w:themeShade="BF"/>
      <w:szCs w:val="22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548</Characters>
  <Lines>49</Lines>
  <Paragraphs>48</Paragraphs>
  <TotalTime>1</TotalTime>
  <ScaleCrop>false</ScaleCrop>
  <LinksUpToDate>false</LinksUpToDate>
  <CharactersWithSpaces>1011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2026-05-25T06:21:00Z</dcterms:created>
  <dc:creator>z z</dc:creator>
  <cp:lastModifiedBy>mofcom</cp:lastModifiedBy>
  <dcterms:modified xsi:type="dcterms:W3CDTF">2026-06-02T01:22:38Z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