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4093D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附件1：评分规则</w:t>
      </w:r>
    </w:p>
    <w:p w14:paraId="7DA7C375">
      <w:pPr>
        <w:numPr>
          <w:ilvl w:val="0"/>
          <w:numId w:val="1"/>
        </w:numPr>
      </w:pPr>
      <w:r>
        <w:rPr>
          <w:rFonts w:hint="eastAsia"/>
        </w:rPr>
        <w:t>报价部分</w:t>
      </w:r>
    </w:p>
    <w:tbl>
      <w:tblPr>
        <w:tblStyle w:val="3"/>
        <w:tblW w:w="0" w:type="auto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229"/>
        <w:gridCol w:w="1085"/>
        <w:gridCol w:w="4976"/>
      </w:tblGrid>
      <w:tr w14:paraId="48CC2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35" w:type="dxa"/>
            <w:vAlign w:val="center"/>
          </w:tcPr>
          <w:p w14:paraId="616FF2BB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229" w:type="dxa"/>
            <w:vAlign w:val="center"/>
          </w:tcPr>
          <w:p w14:paraId="7450465A">
            <w:pPr>
              <w:jc w:val="center"/>
            </w:pPr>
            <w:r>
              <w:rPr>
                <w:rFonts w:hint="eastAsia"/>
              </w:rPr>
              <w:t>评审项目</w:t>
            </w:r>
          </w:p>
        </w:tc>
        <w:tc>
          <w:tcPr>
            <w:tcW w:w="1085" w:type="dxa"/>
            <w:vAlign w:val="center"/>
          </w:tcPr>
          <w:p w14:paraId="509E17D3">
            <w:pPr>
              <w:jc w:val="center"/>
            </w:pPr>
            <w:r>
              <w:rPr>
                <w:rFonts w:hint="eastAsia"/>
              </w:rPr>
              <w:t>标准分</w:t>
            </w:r>
          </w:p>
        </w:tc>
        <w:tc>
          <w:tcPr>
            <w:tcW w:w="4976" w:type="dxa"/>
            <w:vAlign w:val="center"/>
          </w:tcPr>
          <w:p w14:paraId="10D7A2BF">
            <w:pPr>
              <w:jc w:val="center"/>
            </w:pPr>
            <w:r>
              <w:rPr>
                <w:rFonts w:hint="eastAsia"/>
              </w:rPr>
              <w:t>评分标准</w:t>
            </w:r>
          </w:p>
        </w:tc>
      </w:tr>
      <w:tr w14:paraId="3F801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5" w:type="dxa"/>
            <w:vAlign w:val="center"/>
          </w:tcPr>
          <w:p w14:paraId="7C8516CE">
            <w:pPr>
              <w:jc w:val="center"/>
            </w:pPr>
            <w:r>
              <w:rPr>
                <w:rFonts w:hint="eastAsia"/>
              </w:rPr>
              <w:t>报价</w:t>
            </w:r>
          </w:p>
        </w:tc>
        <w:tc>
          <w:tcPr>
            <w:tcW w:w="1229" w:type="dxa"/>
            <w:vAlign w:val="center"/>
          </w:tcPr>
          <w:p w14:paraId="32B88C71">
            <w:pPr>
              <w:jc w:val="center"/>
            </w:pPr>
            <w:r>
              <w:rPr>
                <w:rFonts w:hint="eastAsia"/>
              </w:rPr>
              <w:t>报价分</w:t>
            </w:r>
          </w:p>
        </w:tc>
        <w:tc>
          <w:tcPr>
            <w:tcW w:w="1085" w:type="dxa"/>
            <w:vAlign w:val="center"/>
          </w:tcPr>
          <w:p w14:paraId="4263B8DB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76" w:type="dxa"/>
            <w:vAlign w:val="center"/>
          </w:tcPr>
          <w:p w14:paraId="1F170C98">
            <w:pPr>
              <w:ind w:firstLine="420" w:firstLineChars="200"/>
              <w:jc w:val="left"/>
            </w:pPr>
            <w:r>
              <w:rPr>
                <w:rFonts w:hint="eastAsia"/>
              </w:rPr>
              <w:t>投标人报价得分=（评标基准价/该投标人报价）×</w:t>
            </w:r>
            <w:r>
              <w:rPr>
                <w:rFonts w:hint="eastAsia" w:ascii="Times New Roman" w:hAnsi="Times New Roman" w:cs="Times New Roman"/>
              </w:rPr>
              <w:t>10</w:t>
            </w:r>
            <w:r>
              <w:rPr>
                <w:rFonts w:hint="eastAsia"/>
              </w:rPr>
              <w:t>，满分为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hint="eastAsia"/>
              </w:rPr>
              <w:t>分。</w:t>
            </w:r>
          </w:p>
          <w:p w14:paraId="19D4E786">
            <w:pPr>
              <w:ind w:firstLine="420" w:firstLineChars="200"/>
              <w:jc w:val="left"/>
            </w:pPr>
            <w:r>
              <w:rPr>
                <w:rFonts w:hint="eastAsia"/>
              </w:rPr>
              <w:t>注：评标基准价为满足招标文件要求的报价最低价。</w:t>
            </w:r>
          </w:p>
        </w:tc>
      </w:tr>
    </w:tbl>
    <w:p w14:paraId="7027E135"/>
    <w:p w14:paraId="1D123842">
      <w:pPr>
        <w:numPr>
          <w:ilvl w:val="0"/>
          <w:numId w:val="1"/>
        </w:numPr>
      </w:pPr>
      <w:r>
        <w:rPr>
          <w:rFonts w:hint="eastAsia"/>
        </w:rPr>
        <w:t>商务部分</w:t>
      </w:r>
    </w:p>
    <w:tbl>
      <w:tblPr>
        <w:tblStyle w:val="3"/>
        <w:tblW w:w="0" w:type="auto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243"/>
        <w:gridCol w:w="1100"/>
        <w:gridCol w:w="4961"/>
      </w:tblGrid>
      <w:tr w14:paraId="2904A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  <w:vMerge w:val="restart"/>
            <w:vAlign w:val="center"/>
          </w:tcPr>
          <w:p w14:paraId="49BD99E8">
            <w:pPr>
              <w:jc w:val="center"/>
            </w:pPr>
            <w:r>
              <w:rPr>
                <w:rFonts w:hint="eastAsia"/>
              </w:rPr>
              <w:t>商务</w:t>
            </w:r>
          </w:p>
          <w:p w14:paraId="6FF9AD09">
            <w:pPr>
              <w:jc w:val="center"/>
            </w:pPr>
            <w:r>
              <w:rPr>
                <w:rFonts w:hint="eastAsia"/>
              </w:rPr>
              <w:t>部分</w:t>
            </w:r>
          </w:p>
        </w:tc>
        <w:tc>
          <w:tcPr>
            <w:tcW w:w="1243" w:type="dxa"/>
            <w:vAlign w:val="center"/>
          </w:tcPr>
          <w:p w14:paraId="61A70DFD">
            <w:pPr>
              <w:jc w:val="center"/>
            </w:pPr>
            <w:r>
              <w:rPr>
                <w:rFonts w:hint="eastAsia"/>
              </w:rPr>
              <w:t>同类业绩</w:t>
            </w:r>
          </w:p>
        </w:tc>
        <w:tc>
          <w:tcPr>
            <w:tcW w:w="1100" w:type="dxa"/>
            <w:vAlign w:val="center"/>
          </w:tcPr>
          <w:p w14:paraId="6AEFD6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vAlign w:val="center"/>
          </w:tcPr>
          <w:p w14:paraId="2DAD7814">
            <w:pPr>
              <w:ind w:firstLine="420" w:firstLineChars="200"/>
              <w:jc w:val="left"/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</w:rPr>
              <w:t>年1</w:t>
            </w:r>
            <w:r>
              <w:rPr>
                <w:rFonts w:ascii="Times New Roman" w:hAnsi="Times New Roman" w:cs="Times New Roman"/>
              </w:rPr>
              <w:t>月1日</w:t>
            </w:r>
            <w:r>
              <w:rPr>
                <w:rFonts w:hint="eastAsia" w:ascii="Times New Roman" w:hAnsi="Times New Roman" w:cs="Times New Roman"/>
              </w:rPr>
              <w:t>至今，</w:t>
            </w:r>
            <w:r>
              <w:rPr>
                <w:rFonts w:hint="eastAsia"/>
              </w:rPr>
              <w:t>有与用户相关的信息化系统运维业绩每提供一个得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hint="eastAsia"/>
              </w:rPr>
              <w:t>分，满分为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hint="eastAsia"/>
              </w:rPr>
              <w:t>分。</w:t>
            </w:r>
          </w:p>
        </w:tc>
      </w:tr>
      <w:tr w14:paraId="05C8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  <w:vMerge w:val="continue"/>
            <w:vAlign w:val="center"/>
          </w:tcPr>
          <w:p w14:paraId="677C5D3E">
            <w:pPr>
              <w:jc w:val="center"/>
            </w:pPr>
          </w:p>
        </w:tc>
        <w:tc>
          <w:tcPr>
            <w:tcW w:w="1243" w:type="dxa"/>
            <w:vAlign w:val="center"/>
          </w:tcPr>
          <w:p w14:paraId="652F627B">
            <w:pPr>
              <w:jc w:val="center"/>
            </w:pPr>
            <w:r>
              <w:rPr>
                <w:rFonts w:hint="eastAsia"/>
              </w:rPr>
              <w:t>组织结构及项目团队</w:t>
            </w:r>
          </w:p>
        </w:tc>
        <w:tc>
          <w:tcPr>
            <w:tcW w:w="1100" w:type="dxa"/>
            <w:vAlign w:val="center"/>
          </w:tcPr>
          <w:p w14:paraId="2044A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vAlign w:val="center"/>
          </w:tcPr>
          <w:p w14:paraId="507043DD">
            <w:pPr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提供全天候运维人员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具备</w:t>
            </w:r>
            <w:r>
              <w:rPr>
                <w:rFonts w:hint="eastAsia"/>
              </w:rPr>
              <w:t>大学本科</w:t>
            </w:r>
            <w:r>
              <w:rPr>
                <w:rFonts w:hint="eastAsia"/>
                <w:lang w:val="en-US" w:eastAsia="zh-CN"/>
              </w:rPr>
              <w:t>或</w:t>
            </w:r>
            <w:r>
              <w:rPr>
                <w:rFonts w:hint="eastAsia"/>
              </w:rPr>
              <w:t>以上学历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1名，得10分，除全天候运维人员外，每提供1名协助人员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具备</w:t>
            </w:r>
            <w:r>
              <w:rPr>
                <w:rFonts w:hint="eastAsia"/>
              </w:rPr>
              <w:t>大学本科</w:t>
            </w:r>
            <w:r>
              <w:rPr>
                <w:rFonts w:hint="eastAsia"/>
                <w:lang w:val="en-US" w:eastAsia="zh-CN"/>
              </w:rPr>
              <w:t>或</w:t>
            </w:r>
            <w:r>
              <w:rPr>
                <w:rFonts w:hint="eastAsia"/>
              </w:rPr>
              <w:t>以上学历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，得5分，满分为20分。</w:t>
            </w:r>
          </w:p>
          <w:p w14:paraId="73226C24">
            <w:pPr>
              <w:ind w:firstLine="420" w:firstLineChars="200"/>
              <w:jc w:val="left"/>
            </w:pPr>
            <w:r>
              <w:rPr>
                <w:rFonts w:hint="eastAsia"/>
              </w:rPr>
              <w:t>全天候运维人员及协助人员要求与供应商</w:t>
            </w:r>
            <w:r>
              <w:rPr>
                <w:rFonts w:hint="eastAsia"/>
                <w:lang w:val="en-US" w:eastAsia="zh-CN"/>
              </w:rPr>
              <w:t>具备</w:t>
            </w:r>
            <w:r>
              <w:rPr>
                <w:rFonts w:hint="eastAsia"/>
              </w:rPr>
              <w:t>劳动关系，要求有202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年任意一个月北京市社保缴纳证明</w:t>
            </w:r>
            <w:r>
              <w:rPr>
                <w:rFonts w:hint="eastAsia"/>
                <w:lang w:eastAsia="zh-CN"/>
              </w:rPr>
              <w:t>。</w:t>
            </w:r>
            <w:r>
              <w:rPr>
                <w:rFonts w:hint="eastAsia"/>
              </w:rPr>
              <w:t>提供证明材料</w:t>
            </w:r>
            <w:r>
              <w:rPr>
                <w:rFonts w:hint="eastAsia"/>
                <w:lang w:eastAsia="zh-CN"/>
              </w:rPr>
              <w:t>包括</w:t>
            </w:r>
            <w:r>
              <w:rPr>
                <w:rFonts w:hint="eastAsia"/>
              </w:rPr>
              <w:t>北京市社保缴纳证明</w:t>
            </w:r>
            <w:r>
              <w:rPr>
                <w:rFonts w:hint="eastAsia"/>
                <w:lang w:eastAsia="zh-CN"/>
              </w:rPr>
              <w:t>和学历证明</w:t>
            </w:r>
            <w:r>
              <w:rPr>
                <w:rFonts w:hint="eastAsia"/>
              </w:rPr>
              <w:t>，不满足以上条件，不得分。</w:t>
            </w:r>
          </w:p>
        </w:tc>
      </w:tr>
      <w:tr w14:paraId="45BB5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  <w:vMerge w:val="continue"/>
            <w:vAlign w:val="center"/>
          </w:tcPr>
          <w:p w14:paraId="0A87DB4F">
            <w:pPr>
              <w:jc w:val="center"/>
            </w:pPr>
          </w:p>
        </w:tc>
        <w:tc>
          <w:tcPr>
            <w:tcW w:w="1243" w:type="dxa"/>
            <w:vAlign w:val="center"/>
          </w:tcPr>
          <w:p w14:paraId="733675A7">
            <w:pPr>
              <w:jc w:val="center"/>
            </w:pPr>
            <w:r>
              <w:rPr>
                <w:rFonts w:hint="eastAsia"/>
              </w:rPr>
              <w:t>应急响应</w:t>
            </w:r>
          </w:p>
        </w:tc>
        <w:tc>
          <w:tcPr>
            <w:tcW w:w="1100" w:type="dxa"/>
            <w:vAlign w:val="center"/>
          </w:tcPr>
          <w:p w14:paraId="694DE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</w:rPr>
              <w:t>5</w:t>
            </w:r>
          </w:p>
        </w:tc>
        <w:tc>
          <w:tcPr>
            <w:tcW w:w="4961" w:type="dxa"/>
            <w:vAlign w:val="center"/>
          </w:tcPr>
          <w:p w14:paraId="5EE8E265">
            <w:pPr>
              <w:ind w:firstLine="420" w:firstLineChars="20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承诺一般问题能够在线</w:t>
            </w:r>
            <w:r>
              <w:rPr>
                <w:rFonts w:hint="default" w:ascii="Times New Roman" w:hAnsi="Times New Roman" w:cs="Times New Roman"/>
              </w:rPr>
              <w:t>30</w:t>
            </w:r>
            <w:r>
              <w:rPr>
                <w:rFonts w:hint="eastAsia"/>
              </w:rPr>
              <w:t>分钟内响应、重大问题能够在</w:t>
            </w:r>
            <w:r>
              <w:rPr>
                <w:rFonts w:hint="eastAsia" w:ascii="Times New Roman" w:hAnsi="Times New Roman" w:cs="Times New Roman"/>
              </w:rPr>
              <w:t>15</w:t>
            </w:r>
            <w:r>
              <w:rPr>
                <w:rFonts w:hint="eastAsia"/>
              </w:rPr>
              <w:t>分钟响应，并解决。</w:t>
            </w:r>
            <w:r>
              <w:rPr>
                <w:rFonts w:hint="eastAsia"/>
                <w:lang w:val="en-US" w:eastAsia="zh-CN"/>
              </w:rPr>
              <w:t>能</w:t>
            </w:r>
            <w:r>
              <w:rPr>
                <w:rFonts w:hint="eastAsia"/>
              </w:rPr>
              <w:t>安排技术专家30分钟内赶赴现场处置</w:t>
            </w:r>
            <w:r>
              <w:rPr>
                <w:rFonts w:hint="eastAsia"/>
                <w:lang w:val="en-US" w:eastAsia="zh-CN"/>
              </w:rPr>
              <w:t>的。</w:t>
            </w:r>
            <w:r>
              <w:rPr>
                <w:rFonts w:hint="eastAsia"/>
              </w:rPr>
              <w:t>得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</w:rPr>
              <w:t>-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</w:rPr>
              <w:t>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。</w:t>
            </w:r>
          </w:p>
          <w:p w14:paraId="1118568E">
            <w:pPr>
              <w:ind w:firstLine="420" w:firstLineChars="200"/>
              <w:jc w:val="left"/>
            </w:pPr>
            <w:r>
              <w:rPr>
                <w:rFonts w:hint="eastAsia"/>
              </w:rPr>
              <w:t>承诺一般问题能够在线两个小时内响应、重大问题能够在一个小时响应，并解决。</w:t>
            </w:r>
            <w:r>
              <w:rPr>
                <w:rFonts w:hint="eastAsia"/>
                <w:lang w:val="en-US" w:eastAsia="zh-CN"/>
              </w:rPr>
              <w:t>能</w:t>
            </w:r>
            <w:r>
              <w:rPr>
                <w:rFonts w:hint="eastAsia"/>
              </w:rPr>
              <w:t>安排技术专家两个小时</w:t>
            </w:r>
            <w:r>
              <w:rPr>
                <w:rFonts w:hint="eastAsia"/>
                <w:lang w:val="en-US" w:eastAsia="zh-CN"/>
              </w:rPr>
              <w:t>内</w:t>
            </w:r>
            <w:r>
              <w:rPr>
                <w:rFonts w:hint="eastAsia"/>
              </w:rPr>
              <w:t>赶赴现场处置</w:t>
            </w:r>
            <w:r>
              <w:rPr>
                <w:rFonts w:hint="eastAsia"/>
                <w:lang w:val="en-US" w:eastAsia="zh-CN"/>
              </w:rPr>
              <w:t>的。</w:t>
            </w:r>
            <w:r>
              <w:t>得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</w:rPr>
              <w:t>-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18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。</w:t>
            </w:r>
          </w:p>
          <w:p w14:paraId="1DE22274">
            <w:pPr>
              <w:ind w:firstLine="420" w:firstLineChars="200"/>
              <w:jc w:val="left"/>
            </w:pPr>
            <w:r>
              <w:rPr>
                <w:rFonts w:hint="eastAsia"/>
              </w:rPr>
              <w:t>承诺一般问题能够在线四个小时内响应、重大问题能够在两个小时响应，并解决。</w:t>
            </w:r>
            <w:r>
              <w:rPr>
                <w:rFonts w:hint="eastAsia"/>
                <w:lang w:val="en-US" w:eastAsia="zh-CN"/>
              </w:rPr>
              <w:t>能</w:t>
            </w:r>
            <w:r>
              <w:rPr>
                <w:rFonts w:hint="eastAsia"/>
              </w:rPr>
              <w:t>安排技术专家四个小时内赶赴现场处置</w:t>
            </w:r>
            <w:r>
              <w:rPr>
                <w:rFonts w:hint="eastAsia"/>
                <w:lang w:val="en-US" w:eastAsia="zh-CN"/>
              </w:rPr>
              <w:t>的。</w:t>
            </w:r>
            <w:r>
              <w:t>得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0-8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 w14:paraId="6A120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  <w:vAlign w:val="center"/>
          </w:tcPr>
          <w:p w14:paraId="2965262D">
            <w:pPr>
              <w:jc w:val="center"/>
            </w:pPr>
          </w:p>
        </w:tc>
        <w:tc>
          <w:tcPr>
            <w:tcW w:w="1243" w:type="dxa"/>
            <w:vAlign w:val="center"/>
          </w:tcPr>
          <w:p w14:paraId="2652AF15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100" w:type="dxa"/>
            <w:vAlign w:val="center"/>
          </w:tcPr>
          <w:p w14:paraId="5FF65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55</w:t>
            </w:r>
          </w:p>
        </w:tc>
        <w:tc>
          <w:tcPr>
            <w:tcW w:w="4961" w:type="dxa"/>
            <w:vAlign w:val="center"/>
          </w:tcPr>
          <w:p w14:paraId="5B31A410">
            <w:pPr>
              <w:jc w:val="center"/>
            </w:pPr>
          </w:p>
        </w:tc>
      </w:tr>
    </w:tbl>
    <w:p w14:paraId="0C65DCD7"/>
    <w:p w14:paraId="37C99015">
      <w:pPr>
        <w:numPr>
          <w:ilvl w:val="0"/>
          <w:numId w:val="1"/>
        </w:numPr>
      </w:pPr>
      <w:r>
        <w:rPr>
          <w:rFonts w:hint="eastAsia"/>
        </w:rPr>
        <w:t>技术部分</w:t>
      </w:r>
    </w:p>
    <w:tbl>
      <w:tblPr>
        <w:tblStyle w:val="3"/>
        <w:tblW w:w="0" w:type="auto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228"/>
        <w:gridCol w:w="1115"/>
        <w:gridCol w:w="4976"/>
      </w:tblGrid>
      <w:tr w14:paraId="6C3CE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  <w:vAlign w:val="center"/>
          </w:tcPr>
          <w:p w14:paraId="78BD953A">
            <w:pPr>
              <w:jc w:val="center"/>
            </w:pPr>
            <w:r>
              <w:rPr>
                <w:rFonts w:hint="eastAsia"/>
              </w:rPr>
              <w:t>技术</w:t>
            </w:r>
          </w:p>
          <w:p w14:paraId="139E94B9">
            <w:pPr>
              <w:jc w:val="center"/>
            </w:pPr>
            <w:r>
              <w:rPr>
                <w:rFonts w:hint="eastAsia"/>
              </w:rPr>
              <w:t>部分</w:t>
            </w:r>
          </w:p>
        </w:tc>
        <w:tc>
          <w:tcPr>
            <w:tcW w:w="1228" w:type="dxa"/>
            <w:vAlign w:val="center"/>
          </w:tcPr>
          <w:p w14:paraId="1F854035">
            <w:pPr>
              <w:jc w:val="center"/>
            </w:pPr>
            <w:r>
              <w:rPr>
                <w:rFonts w:hint="eastAsia"/>
              </w:rPr>
              <w:t>服务实施方案</w:t>
            </w:r>
          </w:p>
        </w:tc>
        <w:tc>
          <w:tcPr>
            <w:tcW w:w="1115" w:type="dxa"/>
            <w:vAlign w:val="center"/>
          </w:tcPr>
          <w:p w14:paraId="22B07C4B">
            <w:pPr>
              <w:jc w:val="center"/>
            </w:pPr>
            <w:r>
              <w:rPr>
                <w:rFonts w:hint="eastAsia" w:ascii="Times New Roman" w:hAnsi="Times New Roman" w:cs="Times New Roman"/>
              </w:rPr>
              <w:t>35</w:t>
            </w:r>
          </w:p>
        </w:tc>
        <w:tc>
          <w:tcPr>
            <w:tcW w:w="4976" w:type="dxa"/>
            <w:vAlign w:val="center"/>
          </w:tcPr>
          <w:p w14:paraId="075917B4">
            <w:pPr>
              <w:ind w:firstLine="420" w:firstLineChars="200"/>
              <w:jc w:val="left"/>
            </w:pPr>
            <w:r>
              <w:t>针对本项目提出的服务方案进行评审，包括</w:t>
            </w:r>
            <w:r>
              <w:rPr>
                <w:rFonts w:hint="eastAsia"/>
              </w:rPr>
              <w:t>：</w:t>
            </w:r>
          </w:p>
          <w:p w14:paraId="0F92AE62">
            <w:pPr>
              <w:ind w:firstLine="420" w:firstLineChars="200"/>
              <w:jc w:val="left"/>
            </w:pPr>
            <w:r>
              <w:rPr>
                <w:rFonts w:hint="eastAsia"/>
              </w:rPr>
              <w:t>①需求理解精准度：考察对本项目运维常规服务（含专属服务专员配备</w:t>
            </w:r>
            <w:r>
              <w:rPr>
                <w:rFonts w:hint="eastAsia"/>
                <w:lang w:val="en-US" w:eastAsia="zh-CN"/>
              </w:rPr>
              <w:t>和岗位描述</w:t>
            </w:r>
            <w:r>
              <w:rPr>
                <w:rFonts w:hint="eastAsia"/>
              </w:rPr>
              <w:t>、网站监控、安全整改等各项需求）、故障应急响应（涵盖重大事故处理、故障流程保障等要求）、培训服务及特殊其他要求等内容的分析理解程度。</w:t>
            </w:r>
          </w:p>
          <w:p w14:paraId="4EFD4B42">
            <w:pPr>
              <w:ind w:firstLine="420" w:firstLineChars="200"/>
              <w:jc w:val="left"/>
            </w:pPr>
            <w:r>
              <w:rPr>
                <w:rFonts w:hint="eastAsia"/>
              </w:rPr>
              <w:t>②项目目标明确性：评估所提项目实施目标是否清晰、合理，能否有效契合采购方实际需求与期望。</w:t>
            </w:r>
          </w:p>
          <w:p w14:paraId="283A13AA">
            <w:pPr>
              <w:ind w:firstLine="420" w:firstLineChars="200"/>
              <w:jc w:val="left"/>
            </w:pPr>
            <w:r>
              <w:rPr>
                <w:rFonts w:hint="eastAsia"/>
              </w:rPr>
              <w:t>③实施思路合理性：审视项目实施思路是否科学、可行，能否保障项目顺利推进与达成目标。</w:t>
            </w:r>
          </w:p>
          <w:p w14:paraId="1C4389B4">
            <w:pPr>
              <w:ind w:firstLine="420" w:firstLineChars="200"/>
              <w:jc w:val="left"/>
            </w:pPr>
            <w:r>
              <w:rPr>
                <w:rFonts w:hint="eastAsia"/>
              </w:rPr>
              <w:t>④服务内容完整性：对比服务内容是否全面覆盖运维常规服务各项要点、故障应急响应具体要求、培训服务既定内容，有无缺项漏项。</w:t>
            </w:r>
          </w:p>
          <w:p w14:paraId="10B46A06">
            <w:pPr>
              <w:ind w:firstLine="420" w:firstLineChars="200"/>
              <w:jc w:val="left"/>
            </w:pPr>
            <w:r>
              <w:rPr>
                <w:rFonts w:hint="eastAsia"/>
              </w:rPr>
              <w:t>⑤应急预案完备性：查看应急预案是否健全，包含故障处理流程、告警策略、应急信息手动发布手册等关键要素，且是否定期开展应急演练。</w:t>
            </w:r>
          </w:p>
          <w:p w14:paraId="2263ACF7">
            <w:pPr>
              <w:ind w:firstLine="420" w:firstLineChars="200"/>
              <w:jc w:val="left"/>
            </w:pPr>
            <w:r>
              <w:rPr>
                <w:rFonts w:hint="eastAsia"/>
              </w:rPr>
              <w:t>⑥质量保障有效性：评估质量保证措施是否切实可行、有效有力，能否确保项目服务质量与成果符合标准。</w:t>
            </w:r>
          </w:p>
          <w:p w14:paraId="000DD462">
            <w:pPr>
              <w:ind w:firstLine="420" w:firstLineChars="200"/>
              <w:jc w:val="left"/>
            </w:pPr>
            <w:r>
              <w:rPr>
                <w:rFonts w:hint="eastAsia"/>
              </w:rPr>
              <w:t>以上</w:t>
            </w:r>
            <w:r>
              <w:t>方面的优劣进行横向对比赋分</w:t>
            </w:r>
            <w:r>
              <w:rPr>
                <w:rFonts w:hint="eastAsia"/>
              </w:rPr>
              <w:t>。</w:t>
            </w:r>
          </w:p>
          <w:p w14:paraId="651FB901">
            <w:pPr>
              <w:ind w:firstLine="420" w:firstLineChars="200"/>
              <w:jc w:val="left"/>
            </w:pPr>
            <w:r>
              <w:rPr>
                <w:rFonts w:hint="eastAsia"/>
              </w:rPr>
              <w:t>第一档（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- 35</w:t>
            </w:r>
            <w:r>
              <w:rPr>
                <w:rFonts w:hint="eastAsia"/>
              </w:rPr>
              <w:t>分）：项目服务方案响应全面且深入，内容详尽细致、考虑周全缜密，各项措施具有很强的可行性，质量保证措施完善且具有前瞻性，完全满足项目各项需求，在所有方案中表现卓越。</w:t>
            </w:r>
          </w:p>
          <w:p w14:paraId="283B6A1B">
            <w:pPr>
              <w:ind w:firstLine="420" w:firstLineChars="200"/>
              <w:jc w:val="left"/>
            </w:pPr>
            <w:r>
              <w:rPr>
                <w:rFonts w:hint="eastAsia"/>
              </w:rPr>
              <w:t>第二档（</w:t>
            </w:r>
            <w:r>
              <w:rPr>
                <w:rFonts w:hint="eastAsia" w:ascii="Times New Roman" w:hAnsi="Times New Roman" w:cs="Times New Roman"/>
              </w:rPr>
              <w:t>16 - 25</w:t>
            </w:r>
            <w:r>
              <w:rPr>
                <w:rFonts w:hint="eastAsia"/>
              </w:rPr>
              <w:t>分）：项目服务方案响应较为全面，内容较为详细，可行性较强，质量保证措施比较完善，基本能够满足项目需求，但在某些细节或深度上略逊一筹。</w:t>
            </w:r>
          </w:p>
          <w:p w14:paraId="444C0006">
            <w:pPr>
              <w:ind w:firstLine="420" w:firstLineChars="200"/>
              <w:jc w:val="left"/>
            </w:pPr>
            <w:r>
              <w:rPr>
                <w:rFonts w:hint="eastAsia"/>
              </w:rPr>
              <w:t>第三档（</w:t>
            </w:r>
            <w:r>
              <w:rPr>
                <w:rFonts w:hint="eastAsia" w:ascii="Times New Roman" w:hAnsi="Times New Roman" w:cs="Times New Roman"/>
              </w:rPr>
              <w:t>7 - 15</w:t>
            </w:r>
            <w:r>
              <w:rPr>
                <w:rFonts w:hint="eastAsia"/>
              </w:rPr>
              <w:t>分）：项目服务方案整体表现一般，对项目需求的理解和响应存在一定不足，质量保障措施的可行性和有效性有待提升，仅能部分满足项目基本需求。</w:t>
            </w:r>
          </w:p>
          <w:p w14:paraId="6C160257">
            <w:pPr>
              <w:ind w:firstLine="420" w:firstLineChars="200"/>
              <w:jc w:val="left"/>
            </w:pPr>
            <w:r>
              <w:rPr>
                <w:rFonts w:hint="eastAsia"/>
              </w:rPr>
              <w:t>第四档（按缺项扣分）：若方案在上述六个评审维度中存在缺项情况，每缺少一项扣1分，直至扣完相应基础分数。最终得分根据实际表现，在对应档次分数区间内结合缺项扣分情况综合确定。</w:t>
            </w:r>
          </w:p>
        </w:tc>
      </w:tr>
    </w:tbl>
    <w:p w14:paraId="6357C04C"/>
    <w:p w14:paraId="4E447F4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EFE8D1"/>
    <w:multiLevelType w:val="singleLevel"/>
    <w:tmpl w:val="CFEFE8D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32A1C"/>
    <w:rsid w:val="4B83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2026-06-02T00:23:00Z</dcterms:created>
  <dc:creator>吴燕</dc:creator>
  <cp:lastModifiedBy>吴燕</cp:lastModifiedBy>
  <dcterms:modified xsi:type="dcterms:W3CDTF">2026-06-02T00:24:04Z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052F1044D0ED4B498F5DD9D7EB15D7B8_11</vt:lpwstr>
  </property>
  <property fmtid="{D5CDD505-2E9C-101B-9397-08002B2CF9AE}" pid="4" name="KSOTemplateDocerSaveRecord">
    <vt:lpwstr>eyJoZGlkIjoiMTc4MzcwMzYwNDAxNTU0NTgyNzAxMGIwNjI4MjNhY2MiLCJ1c2VySWQiOiI0MDM5NDI4NzIifQ==</vt:lpwstr>
  </property>
</Properties>
</file>